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CBC20" w14:textId="012C1DA5" w:rsidR="00EC2D0D" w:rsidRDefault="003F23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lang w:val="en-US" w:eastAsia="en-US" w:bidi="en-US"/>
        </w:rPr>
      </w:pPr>
      <w:bookmarkStart w:id="0" w:name="_GoBack"/>
      <w:bookmarkEnd w:id="0"/>
      <w:r>
        <w:rPr>
          <w:rFonts w:ascii="Arial" w:eastAsia="Arial" w:hAnsi="Arial" w:cs="Arial"/>
          <w:b/>
          <w:lang w:val="en-US" w:eastAsia="en-US" w:bidi="en-US"/>
        </w:rPr>
        <w:t>Checklist for When you are Selling a Business</w:t>
      </w:r>
    </w:p>
    <w:p w14:paraId="68F9F6B5" w14:textId="77777777" w:rsidR="00EC2D0D" w:rsidRDefault="00EC2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lang w:val="en-US" w:eastAsia="en-US" w:bidi="en-US"/>
        </w:rPr>
      </w:pPr>
    </w:p>
    <w:p w14:paraId="587A6AD9" w14:textId="77777777" w:rsidR="00EC2D0D" w:rsidRDefault="00EC2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lang w:val="en-US" w:eastAsia="en-US" w:bidi="en-US"/>
        </w:rPr>
      </w:pPr>
    </w:p>
    <w:p w14:paraId="6B61F2A7" w14:textId="77777777" w:rsidR="00EC2D0D" w:rsidRDefault="00EC2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8C3DBEF" w14:textId="3CD95D2E" w:rsidR="003F23D5" w:rsidRDefault="00F974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The Sale Agreement </w:t>
      </w:r>
      <w:r w:rsidR="003F23D5">
        <w:rPr>
          <w:rFonts w:ascii="Arial" w:eastAsia="Arial" w:hAnsi="Arial" w:cs="Arial"/>
          <w:sz w:val="20"/>
          <w:lang w:val="en-US" w:eastAsia="en-US" w:bidi="en-US"/>
        </w:rPr>
        <w:t>has certain things that must be included:</w:t>
      </w:r>
    </w:p>
    <w:p w14:paraId="46E435D4" w14:textId="77777777" w:rsidR="00EC2D0D" w:rsidRDefault="00EC2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BF1EF5E" w14:textId="77777777" w:rsidR="00EC2D0D" w:rsidRDefault="00EC2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B78AB76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Identification of parties</w:t>
      </w:r>
    </w:p>
    <w:p w14:paraId="6F569E30" w14:textId="77777777" w:rsidR="00EC2D0D" w:rsidRDefault="00EC2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eastAsia="Arial" w:hAnsi="Arial" w:cs="Arial"/>
          <w:sz w:val="20"/>
          <w:lang w:val="en-US" w:eastAsia="en-US" w:bidi="en-US"/>
        </w:rPr>
      </w:pPr>
    </w:p>
    <w:p w14:paraId="68FF8CD9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Names</w:t>
      </w:r>
    </w:p>
    <w:p w14:paraId="2ECB52F3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Addresses</w:t>
      </w:r>
    </w:p>
    <w:p w14:paraId="493A0041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51289E7F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1E5542A9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Character of each party</w:t>
      </w:r>
    </w:p>
    <w:p w14:paraId="47EAFCAD" w14:textId="77777777" w:rsidR="00EC2D0D" w:rsidRDefault="00EC2D0D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eastAsia="Arial" w:hAnsi="Arial" w:cs="Arial"/>
          <w:sz w:val="20"/>
          <w:lang w:val="en-US" w:eastAsia="en-US" w:bidi="en-US"/>
        </w:rPr>
      </w:pPr>
    </w:p>
    <w:p w14:paraId="1CEC43EE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Corporation</w:t>
      </w:r>
    </w:p>
    <w:p w14:paraId="2EF6B517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Sole proprietorship</w:t>
      </w:r>
    </w:p>
    <w:p w14:paraId="498DEC9A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Professional practitioner</w:t>
      </w:r>
    </w:p>
    <w:p w14:paraId="64BAA117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66C2E4B1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5DCC455F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Recitals</w:t>
      </w:r>
    </w:p>
    <w:p w14:paraId="008E3D02" w14:textId="77777777" w:rsidR="00EC2D0D" w:rsidRDefault="00EC2D0D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eastAsia="Arial" w:hAnsi="Arial" w:cs="Arial"/>
          <w:sz w:val="20"/>
          <w:lang w:val="en-US" w:eastAsia="en-US" w:bidi="en-US"/>
        </w:rPr>
      </w:pPr>
    </w:p>
    <w:p w14:paraId="6BC733FD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Business or profession conducted by seller</w:t>
      </w:r>
    </w:p>
    <w:p w14:paraId="54226EF1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Desire of seller to sell and buyer to buy</w:t>
      </w:r>
    </w:p>
    <w:p w14:paraId="4806E67F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Desire of seller to retire</w:t>
      </w:r>
    </w:p>
    <w:p w14:paraId="4BC572E6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70D5B672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51C52BE6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Assets subject to agreement</w:t>
      </w:r>
    </w:p>
    <w:p w14:paraId="1431F365" w14:textId="77777777" w:rsidR="00EC2D0D" w:rsidRDefault="00EC2D0D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eastAsia="Arial" w:hAnsi="Arial" w:cs="Arial"/>
          <w:sz w:val="20"/>
          <w:lang w:val="en-US" w:eastAsia="en-US" w:bidi="en-US"/>
        </w:rPr>
      </w:pPr>
    </w:p>
    <w:p w14:paraId="5B531F30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Business building and other real property</w:t>
      </w:r>
    </w:p>
    <w:p w14:paraId="1EE068CE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Good will; use of firm name or customer lists</w:t>
      </w:r>
    </w:p>
    <w:p w14:paraId="22215DB0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Stock in trade</w:t>
      </w:r>
    </w:p>
    <w:p w14:paraId="7513DAE9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Equipment, furniture, and fixtures</w:t>
      </w:r>
    </w:p>
    <w:p w14:paraId="15C222C5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Patents, copyrights, trademarks, and trade names</w:t>
      </w:r>
    </w:p>
    <w:p w14:paraId="53BC9870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Cash on hand and on deposit</w:t>
      </w:r>
    </w:p>
    <w:p w14:paraId="0530D55C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Insurance policies</w:t>
      </w:r>
    </w:p>
    <w:p w14:paraId="3D75E7A4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Notes and accounts receivable, securities for debts, and outstanding contracts</w:t>
      </w:r>
    </w:p>
    <w:p w14:paraId="6F444169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Other assets</w:t>
      </w:r>
    </w:p>
    <w:p w14:paraId="288E5A3F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Valuation of assets sold</w:t>
      </w:r>
    </w:p>
    <w:p w14:paraId="7828FB86" w14:textId="77777777" w:rsidR="00EC2D0D" w:rsidRDefault="00EC2D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sz w:val="20"/>
          <w:lang w:val="en-US" w:eastAsia="en-US" w:bidi="en-US"/>
        </w:rPr>
      </w:pPr>
    </w:p>
    <w:p w14:paraId="57463F4F" w14:textId="77777777" w:rsidR="00EC2D0D" w:rsidRDefault="00EC2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eastAsia="Arial" w:hAnsi="Arial" w:cs="Arial"/>
          <w:sz w:val="20"/>
          <w:lang w:val="en-US" w:eastAsia="en-US" w:bidi="en-US"/>
        </w:rPr>
      </w:pPr>
    </w:p>
    <w:p w14:paraId="3CF7AED0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Nature of consideration</w:t>
      </w:r>
    </w:p>
    <w:p w14:paraId="04FA37BC" w14:textId="77777777" w:rsidR="00EC2D0D" w:rsidRDefault="00EC2D0D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eastAsia="Arial" w:hAnsi="Arial" w:cs="Arial"/>
          <w:sz w:val="20"/>
          <w:lang w:val="en-US" w:eastAsia="en-US" w:bidi="en-US"/>
        </w:rPr>
      </w:pPr>
    </w:p>
    <w:p w14:paraId="0E38D66E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Payment of money</w:t>
      </w:r>
    </w:p>
    <w:p w14:paraId="3586F71A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Assumption of debts and liabilities</w:t>
      </w:r>
    </w:p>
    <w:p w14:paraId="15C282AE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Other consideration</w:t>
      </w:r>
    </w:p>
    <w:p w14:paraId="621C05B5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Allocation of purchase price to various assets sold</w:t>
      </w:r>
    </w:p>
    <w:p w14:paraId="6813C8F1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5A10BDBC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4F4BBC9F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Time and manner of payment</w:t>
      </w:r>
    </w:p>
    <w:p w14:paraId="27900C1C" w14:textId="77777777" w:rsidR="00EC2D0D" w:rsidRDefault="00EC2D0D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eastAsia="Arial" w:hAnsi="Arial" w:cs="Arial"/>
          <w:sz w:val="20"/>
          <w:lang w:val="en-US" w:eastAsia="en-US" w:bidi="en-US"/>
        </w:rPr>
      </w:pPr>
    </w:p>
    <w:p w14:paraId="5C2D5AAC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All cash on closing</w:t>
      </w:r>
    </w:p>
    <w:p w14:paraId="52FC63C8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Part payment on signing and balance on closing</w:t>
      </w:r>
    </w:p>
    <w:p w14:paraId="378CCDB1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Deposit held in escrow until closing</w:t>
      </w:r>
    </w:p>
    <w:p w14:paraId="2FBBD791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Installment payments</w:t>
      </w:r>
    </w:p>
    <w:p w14:paraId="5449AE77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Mortgage or other collateral security</w:t>
      </w:r>
    </w:p>
    <w:p w14:paraId="29B6EE70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Forfeiture of deposit for default in paying purchase price</w:t>
      </w:r>
    </w:p>
    <w:p w14:paraId="69E6050B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Other methods of payment</w:t>
      </w:r>
    </w:p>
    <w:p w14:paraId="385C6657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Personal guaranty of payment by buyer</w:t>
      </w:r>
    </w:p>
    <w:p w14:paraId="4BCEEE4C" w14:textId="77777777" w:rsidR="00EC2D0D" w:rsidRDefault="00EC2D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5C98B984" w14:textId="77777777" w:rsidR="00EC2D0D" w:rsidRDefault="00EC2D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6A11E9F9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Closing</w:t>
      </w:r>
    </w:p>
    <w:p w14:paraId="4C49DA4F" w14:textId="77777777" w:rsidR="00EC2D0D" w:rsidRDefault="00EC2D0D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eastAsia="Arial" w:hAnsi="Arial" w:cs="Arial"/>
          <w:sz w:val="20"/>
          <w:lang w:val="en-US" w:eastAsia="en-US" w:bidi="en-US"/>
        </w:rPr>
      </w:pPr>
    </w:p>
    <w:p w14:paraId="4848F545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Delivery of instruments of transfer</w:t>
      </w:r>
    </w:p>
    <w:p w14:paraId="31F63979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Payment of purchase price</w:t>
      </w:r>
    </w:p>
    <w:p w14:paraId="4E07B5E4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Acquisition of necessary rulings and approvals</w:t>
      </w:r>
    </w:p>
    <w:p w14:paraId="18D9CAFD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Conduct of business until closing</w:t>
      </w:r>
    </w:p>
    <w:p w14:paraId="764D199C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Date of closing</w:t>
      </w:r>
    </w:p>
    <w:p w14:paraId="06DC5D60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Inspection of assets sold</w:t>
      </w:r>
    </w:p>
    <w:p w14:paraId="4EF6EE56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72223780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25B816AC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Inspection of books, records, and premises</w:t>
      </w:r>
    </w:p>
    <w:p w14:paraId="224A90FD" w14:textId="77777777" w:rsidR="00EC2D0D" w:rsidRDefault="00EC2D0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/>
        <w:rPr>
          <w:rFonts w:ascii="Arial" w:eastAsia="Arial" w:hAnsi="Arial" w:cs="Arial"/>
          <w:sz w:val="20"/>
          <w:lang w:val="en-US" w:eastAsia="en-US" w:bidi="en-US"/>
        </w:rPr>
      </w:pPr>
    </w:p>
    <w:p w14:paraId="21A8FED9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Furnishing of customer list</w:t>
      </w:r>
    </w:p>
    <w:p w14:paraId="6B458280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Furnishing of supplier list</w:t>
      </w:r>
    </w:p>
    <w:p w14:paraId="64AC6720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44FD35EE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410AB63D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Representations by seller</w:t>
      </w:r>
    </w:p>
    <w:p w14:paraId="52FE26A3" w14:textId="77777777" w:rsidR="00EC2D0D" w:rsidRDefault="00EC2D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7B1D2B4E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Title to property and assets</w:t>
      </w:r>
    </w:p>
    <w:p w14:paraId="2913455A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Authority to enter into agreement</w:t>
      </w:r>
    </w:p>
    <w:p w14:paraId="63584477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Accuracy and completeness of books and records</w:t>
      </w:r>
    </w:p>
    <w:p w14:paraId="4C4780F7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All outstanding liens, contracts, judgments, and other obligations disclosed</w:t>
      </w:r>
    </w:p>
    <w:p w14:paraId="6E2B679B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Absence of labor disputes</w:t>
      </w:r>
    </w:p>
    <w:p w14:paraId="1232AA62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Validity of patents, copyrights, trademarks, and trade names</w:t>
      </w:r>
    </w:p>
    <w:p w14:paraId="3CBF3BDB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Compliance with all laws affecting business</w:t>
      </w:r>
    </w:p>
    <w:p w14:paraId="0F681AA0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Survival of representations</w:t>
      </w:r>
    </w:p>
    <w:p w14:paraId="27D22C57" w14:textId="77777777" w:rsidR="00EC2D0D" w:rsidRDefault="00EC2D0D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eastAsia="Arial" w:hAnsi="Arial" w:cs="Arial"/>
          <w:sz w:val="20"/>
          <w:lang w:val="en-US" w:eastAsia="en-US" w:bidi="en-US"/>
        </w:rPr>
      </w:pPr>
    </w:p>
    <w:p w14:paraId="44FBD2A2" w14:textId="77777777" w:rsidR="00EC2D0D" w:rsidRDefault="00EC2D0D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eastAsia="Arial" w:hAnsi="Arial" w:cs="Arial"/>
          <w:sz w:val="20"/>
          <w:lang w:val="en-US" w:eastAsia="en-US" w:bidi="en-US"/>
        </w:rPr>
      </w:pPr>
    </w:p>
    <w:p w14:paraId="0BCC6034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Indemnification of buyer</w:t>
      </w:r>
    </w:p>
    <w:p w14:paraId="3A936C14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44A61627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32ACBCAC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27CED88B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Assumption by buyer of lease</w:t>
      </w:r>
    </w:p>
    <w:p w14:paraId="45561FF7" w14:textId="77777777" w:rsidR="00EC2D0D" w:rsidRDefault="00EC2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4152DE9" w14:textId="77777777" w:rsidR="00EC2D0D" w:rsidRDefault="00F974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lastRenderedPageBreak/>
        <w:t>Obtaining of lessor’s consent to assignment of lease</w:t>
      </w:r>
    </w:p>
    <w:p w14:paraId="0B8EFBB2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075A8A0C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376EB28C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Assumption by buyer of outstanding contracts</w:t>
      </w:r>
    </w:p>
    <w:p w14:paraId="2CC46393" w14:textId="77777777" w:rsidR="00EC2D0D" w:rsidRDefault="00EC2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52CD985" w14:textId="77777777" w:rsidR="00EC2D0D" w:rsidRDefault="00F974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Disavowal of contracts not listed by seller</w:t>
      </w:r>
    </w:p>
    <w:p w14:paraId="24A17200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/>
        <w:rPr>
          <w:rFonts w:ascii="Arial" w:eastAsia="Arial" w:hAnsi="Arial" w:cs="Arial"/>
          <w:sz w:val="20"/>
          <w:lang w:val="en-US" w:eastAsia="en-US" w:bidi="en-US"/>
        </w:rPr>
      </w:pPr>
    </w:p>
    <w:p w14:paraId="609F23B1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/>
        <w:rPr>
          <w:rFonts w:ascii="Arial" w:eastAsia="Arial" w:hAnsi="Arial" w:cs="Arial"/>
          <w:sz w:val="20"/>
          <w:lang w:val="en-US" w:eastAsia="en-US" w:bidi="en-US"/>
        </w:rPr>
      </w:pPr>
    </w:p>
    <w:p w14:paraId="54293842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Assumption by buyer of seller’s collective bargaining agreement</w:t>
      </w:r>
    </w:p>
    <w:p w14:paraId="4C601896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1D9C1FD1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097D48EE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Payment of broker’s commission</w:t>
      </w:r>
    </w:p>
    <w:p w14:paraId="26638830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536C55FB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7E2B4F07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Instruction of buyer by seller in operation of business</w:t>
      </w:r>
    </w:p>
    <w:p w14:paraId="5E83BF5E" w14:textId="77777777" w:rsidR="00EC2D0D" w:rsidRDefault="00EC2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F5174DA" w14:textId="77777777" w:rsidR="00EC2D0D" w:rsidRDefault="00F974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Employment of seller as executive of buyer</w:t>
      </w:r>
    </w:p>
    <w:p w14:paraId="72FCCB20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6709753F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70E3DE01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Covenant not to compete</w:t>
      </w:r>
    </w:p>
    <w:p w14:paraId="70C8D0AF" w14:textId="77777777" w:rsidR="00EC2D0D" w:rsidRDefault="00EC2D0D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eastAsia="Arial" w:hAnsi="Arial" w:cs="Arial"/>
          <w:sz w:val="20"/>
          <w:lang w:val="en-US" w:eastAsia="en-US" w:bidi="en-US"/>
        </w:rPr>
      </w:pPr>
    </w:p>
    <w:p w14:paraId="62FAC162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Territory</w:t>
      </w:r>
    </w:p>
    <w:p w14:paraId="48D9B786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Duration</w:t>
      </w:r>
    </w:p>
    <w:p w14:paraId="6362713C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529EF7AB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3790320A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Responsibility for obtaining necessary approvals and making necessary filings</w:t>
      </w:r>
    </w:p>
    <w:p w14:paraId="31DC7815" w14:textId="77777777" w:rsidR="00EC2D0D" w:rsidRDefault="00EC2D0D">
      <w:p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Arial" w:eastAsia="Arial" w:hAnsi="Arial" w:cs="Arial"/>
          <w:sz w:val="20"/>
          <w:lang w:val="en-US" w:eastAsia="en-US" w:bidi="en-US"/>
        </w:rPr>
      </w:pPr>
    </w:p>
    <w:p w14:paraId="71F79E49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Tax rulings</w:t>
      </w:r>
    </w:p>
    <w:p w14:paraId="43803C7F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Antitrust rulings</w:t>
      </w:r>
    </w:p>
    <w:p w14:paraId="299DB638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Similar approvals</w:t>
      </w:r>
    </w:p>
    <w:p w14:paraId="22645345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7DDB3822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5E0567C9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Payment of sales or use taxes imposed on transfer of assets</w:t>
      </w:r>
    </w:p>
    <w:p w14:paraId="106B788B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05FC1CE7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33ED8A6F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Payment of other taxes</w:t>
      </w:r>
    </w:p>
    <w:p w14:paraId="3AE486DC" w14:textId="77777777" w:rsidR="00EC2D0D" w:rsidRDefault="00EC2D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6C168B26" w14:textId="77777777" w:rsidR="00EC2D0D" w:rsidRDefault="00EC2D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37E519DB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Transfer of tax identification numbers</w:t>
      </w:r>
    </w:p>
    <w:p w14:paraId="6B1DB382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6D7C70F8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5A06C5EA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Insurance</w:t>
      </w:r>
    </w:p>
    <w:p w14:paraId="50E38A88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44466C28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5CB011D2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Contingencies</w:t>
      </w:r>
    </w:p>
    <w:p w14:paraId="69A89694" w14:textId="77777777" w:rsidR="00EC2D0D" w:rsidRDefault="00EC2D0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b/>
          <w:sz w:val="20"/>
          <w:lang w:val="en-US" w:eastAsia="en-US" w:bidi="en-US"/>
        </w:rPr>
      </w:pPr>
    </w:p>
    <w:p w14:paraId="03A59E2F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On buyer’s obtaining license or permit</w:t>
      </w:r>
    </w:p>
    <w:p w14:paraId="03B23291" w14:textId="77777777" w:rsidR="00EC2D0D" w:rsidRDefault="00F9745F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On buyer’s continuation as franchisee</w:t>
      </w:r>
    </w:p>
    <w:p w14:paraId="664A8EB5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5551B222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Execution of bill of sale to transfer personal properties</w:t>
      </w:r>
    </w:p>
    <w:p w14:paraId="3A2BB046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391632D0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23A8370C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Transfer of titles of motor vehicles</w:t>
      </w:r>
    </w:p>
    <w:p w14:paraId="075486E7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50C80098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23CB954C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Execution of warranty deed to transfer real properties</w:t>
      </w:r>
    </w:p>
    <w:p w14:paraId="542B426D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1AA023D2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0C8AE910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Risk of loss</w:t>
      </w:r>
    </w:p>
    <w:p w14:paraId="481BC003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6BA20B94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42A31A76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Remedies on default</w:t>
      </w:r>
    </w:p>
    <w:p w14:paraId="063AF7B7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1F3DC89A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20457A5D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Assignability of rights under agreement</w:t>
      </w:r>
    </w:p>
    <w:p w14:paraId="24740107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115828B6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7E1E864F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Modification of agreement</w:t>
      </w:r>
    </w:p>
    <w:p w14:paraId="74138DBD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2D319468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62172049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Arbitration of disputes</w:t>
      </w:r>
    </w:p>
    <w:p w14:paraId="2C3E8DCD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76D2BFEB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0E19A165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Manner of giving notice</w:t>
      </w:r>
    </w:p>
    <w:p w14:paraId="08515F76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34C7D516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71466EB4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Binding effect of agreement on successors and assigns</w:t>
      </w:r>
    </w:p>
    <w:p w14:paraId="3611D4B2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65197A51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1D766479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Governing law</w:t>
      </w:r>
    </w:p>
    <w:p w14:paraId="61F930C6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2FD10C53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01D29151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Date of execution</w:t>
      </w:r>
    </w:p>
    <w:p w14:paraId="061D76A5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335D3D7C" w14:textId="77777777" w:rsidR="00EC2D0D" w:rsidRDefault="00EC2D0D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" w:hanging="180"/>
        <w:rPr>
          <w:rFonts w:ascii="Arial" w:eastAsia="Arial" w:hAnsi="Arial" w:cs="Arial"/>
          <w:sz w:val="20"/>
          <w:lang w:val="en-US" w:eastAsia="en-US" w:bidi="en-US"/>
        </w:rPr>
      </w:pPr>
    </w:p>
    <w:p w14:paraId="1B0C8898" w14:textId="77777777" w:rsidR="00EC2D0D" w:rsidRDefault="00F9745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Signatures</w:t>
      </w:r>
    </w:p>
    <w:p w14:paraId="4AE0EF8B" w14:textId="77777777" w:rsidR="00EC2D0D" w:rsidRDefault="00EC2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  <w:rPr>
          <w:rFonts w:ascii="Arial" w:eastAsia="Arial" w:hAnsi="Arial" w:cs="Arial"/>
          <w:b/>
          <w:sz w:val="20"/>
          <w:lang w:val="en-US" w:eastAsia="en-US" w:bidi="en-US"/>
        </w:rPr>
      </w:pPr>
    </w:p>
    <w:sectPr w:rsidR="00EC2D0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DECAB" w14:textId="77777777" w:rsidR="00F9745F" w:rsidRDefault="00F9745F">
      <w:r>
        <w:separator/>
      </w:r>
    </w:p>
  </w:endnote>
  <w:endnote w:type="continuationSeparator" w:id="0">
    <w:p w14:paraId="06791A93" w14:textId="77777777" w:rsidR="00F9745F" w:rsidRDefault="00F9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A55FB5" w14:textId="77777777" w:rsidR="00F9745F" w:rsidRDefault="00F9745F">
      <w:r>
        <w:separator/>
      </w:r>
    </w:p>
  </w:footnote>
  <w:footnote w:type="continuationSeparator" w:id="0">
    <w:p w14:paraId="452FCC35" w14:textId="77777777" w:rsidR="00F9745F" w:rsidRDefault="00F9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B66CF"/>
    <w:multiLevelType w:val="singleLevel"/>
    <w:tmpl w:val="A0D234A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793961EC"/>
    <w:multiLevelType w:val="singleLevel"/>
    <w:tmpl w:val="CE343D8E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cs="Wingdings" w:hint="default"/>
        <w:b w:val="0"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bG0NDc0NDa3sDBU0lEKTi0uzszPAykwrAUA3cCpGywAAAA="/>
    <w:docVar w:name="Description" w:val="Use this checklist to determine the information that needs to be included in an a sale of business agreement."/>
    <w:docVar w:name="Excerpt" w:val="Not Applicable "/>
    <w:docVar w:name="Source" w:val="www.truetrust.com"/>
    <w:docVar w:name="Tags" w:val="business sale, document template, business documents, entrepreneurship, entrepreneur, buying and selling of shares, sale of a business checklist template, sale of a business checklist example"/>
  </w:docVars>
  <w:rsids>
    <w:rsidRoot w:val="00EC2D0D"/>
    <w:rsid w:val="00273975"/>
    <w:rsid w:val="003F23D5"/>
    <w:rsid w:val="00855EB3"/>
    <w:rsid w:val="00C30F1C"/>
    <w:rsid w:val="00D60C95"/>
    <w:rsid w:val="00EC2D0D"/>
    <w:rsid w:val="00F9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E8A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528</Words>
  <Characters>2680</Characters>
  <Application>Microsoft Office Word</Application>
  <DocSecurity>0</DocSecurity>
  <Lines>181</Lines>
  <Paragraphs>93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2006-08-14T16:29:00Z</dcterms:created>
  <dcterms:modified xsi:type="dcterms:W3CDTF">2019-10-21T19:06:00Z</dcterms:modified>
  <cp:category/>
</cp:coreProperties>
</file>